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DDDA8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jc w:val="center"/>
        <w:rPr>
          <w:rFonts w:ascii="Microsoft YaHei UI" w:hAnsi="Microsoft YaHei UI" w:eastAsia="Microsoft YaHei UI" w:cs="Microsoft YaHei UI"/>
          <w:b/>
          <w:bCs/>
          <w:i w:val="0"/>
          <w:iCs w:val="0"/>
          <w:caps w:val="0"/>
          <w:spacing w:val="8"/>
          <w:sz w:val="40"/>
          <w:szCs w:val="40"/>
        </w:rPr>
      </w:pPr>
      <w:bookmarkStart w:id="0" w:name="_GoBack"/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spacing w:val="8"/>
          <w:sz w:val="40"/>
          <w:szCs w:val="40"/>
          <w:bdr w:val="none" w:color="auto" w:sz="0" w:space="0"/>
          <w:shd w:val="clear" w:fill="FFFFFF"/>
        </w:rPr>
        <w:t>纪法小课堂丨滥发津补贴是慷公家之慨、谋小团体之私</w:t>
      </w:r>
    </w:p>
    <w:bookmarkEnd w:id="0"/>
    <w:p w14:paraId="6C9BCBE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套点钱出来顺带给大伙发些福利补贴，能有多大错？</w:t>
      </w:r>
    </w:p>
    <w:p w14:paraId="273F37AD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</w:p>
    <w:p w14:paraId="770AE46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巧立名目套取公款，借口“关心干部职工”滥发补贴——看似是“给大伙谋福利”，实则是慷公家之慨、给小团体变相“加薪”。</w:t>
      </w:r>
    </w:p>
    <w:p w14:paraId="2CA86B9D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273675" cy="4592320"/>
            <wp:effectExtent l="0" t="0" r="3175" b="17780"/>
            <wp:docPr id="34" name="图片 33" descr="IMG_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3" descr="IMG_26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45923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DBA7F0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【纪法标尺】</w:t>
      </w:r>
    </w:p>
    <w:p w14:paraId="2D2BB07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《中国共产党纪律处分条例》（以下简称《条例》）第一百一十四条规定，违反有关规定自定薪酬或者滥发津贴、补贴、奖金、福利等，对直接责任者和领导责任者，情节较轻的，给予警告或者严重警告处分；情节较重的，给予撤销党内职务或者留党察看处分；情节严重的，给予开除党籍处分。</w:t>
      </w:r>
    </w:p>
    <w:p w14:paraId="60C2AEE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【典型案例】</w:t>
      </w:r>
    </w:p>
    <w:p w14:paraId="67FAE12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某县直单位负责人林某（中共党员），授意财务人员通过虚构合同等方式套取项目资金28万元设立“小金库”，用于解决单位不便报销的日常开支。为了邀买人心，每逢节假日，林某便巧立名目，违规使用“小金库”资金给单位干部职工发放“过节福利”和“加班补贴”。最终，林某因私设“小金库”和违规滥发津补贴行为受到党纪政务处分，违规发放的款项被责令清退，账外资金被依规处理。</w:t>
      </w:r>
    </w:p>
    <w:p w14:paraId="0FA2EA3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【条分缕析】</w:t>
      </w:r>
    </w:p>
    <w:p w14:paraId="127B5B1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面对执纪审查，林某辩解道：“我这是关心干部职工，为大家谋福利，怎么是违纪？”如此“关怀”看似体恤下属，实则混淆了正常待遇保障与违规滥发财物的界限。《条例》第一百一十四条对违规自定薪酬和滥发津补贴、福利等行为划出红线，明确了福利保障必须在法规制度的轨道上运行。关心关爱干部职工可以理解，但前提必须是合法合规。打着“给大伙谋福利”旗号行违规滥发津补贴之实，绝非“办好事”，而是慷公家之慨、谋小团体之私的典型违纪行为。</w:t>
      </w:r>
    </w:p>
    <w:p w14:paraId="1557EA1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一、撕下“关心干部职工”外衣：福利发放有规矩，公款不容借名“送人情”</w:t>
      </w:r>
    </w:p>
    <w:p w14:paraId="3FC6F49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公共资金不是单位“自留地”，更不是党员干部用来邀买人心的“福利池”。根据《条例》及相关财经制度规定，薪酬、津贴、补贴、奖金、福利均有明确的政策边界。判定发放是否合规，核心看四条硬杠杠：是否有政策依据、是否符合发放范围和标准、是否履行规定程序、资金来源是否合法。符合规定的一分不能少，没有依据的一分不能发。所谓“为大伙谋福利”，如果建立在套取公款、违规滥发津补贴的基础上，就是损公肥私。</w:t>
      </w:r>
    </w:p>
    <w:p w14:paraId="36378B6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本案中，林某通过虚构合同等方式套取公款设立“小金库”，并以此向干部职工违规发放津补贴和福利。资金来源既不合法，发放名目也不合规。这种拿公家利益送“人情”、用公共资金换“口碑”的做法，不仅办不成“暖心事”，反而变成甩不掉的“违纪包袱”。</w:t>
      </w:r>
    </w:p>
    <w:p w14:paraId="0771D0D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二、算清“违纪账”：私设“小金库”与违规滥发津补贴各有危害，不能“一笔带过”</w:t>
      </w:r>
    </w:p>
    <w:p w14:paraId="258A84D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现实中，个别党员干部心里打着“小算盘”：“私设‘小金库’就是为了花钱，设立和花钱是一码事，顶多算一种违纪，处罚不会重。”然而纪律从不算“糊涂账”，定性归责自有清晰标尺——关键就看私设“小金库”与用款是否“一事一挂钩”：如果私设“小金库”从一开始就奔着某一项特定违规用途去，设“小金库”只是手段、违规用钱才是目的，二者完全绑定，通常按处分较重的行为定性处理；如果私设“小金库”后又将其作为用途多样的“备用资金池”，既用来解决单位不便报销的日常开支，又用于公款吃喝或者滥发福利等，案发时甚至还有结余，此时设立行为与使用行为就不存在吸收或牵连关系，一般“分项算账”“分别定性”。</w:t>
      </w:r>
    </w:p>
    <w:p w14:paraId="30E36B5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本案中，林某私设的“小金库”用途混杂，既是解决单位不便报销开支的“备用金”，也是滥发福利补贴的“钱袋子”。私设“账外账”破了财经纪律，违规滥发津补贴触碰中央八项规定精神红线，两个行为性质不同、各自独立，自然要分别认定、合并追责。事实证明，任何拿“关心干部职工”当幌子、妄图用“集体福利”掩盖多重违纪的花招，均逃不过纪律的“火眼金睛”。</w:t>
      </w:r>
    </w:p>
    <w:p w14:paraId="79384E1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【廉洁提醒】</w:t>
      </w:r>
    </w:p>
    <w:p w14:paraId="61D9E93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46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福利有温度，规矩有尺度。关爱干部职工，讲感情更要讲原则，给温暖更要守底线——符合政策的福利大方给足，规矩外的钱物坚决不发。把福利发在阳光下、领在规矩里，方能让大家拿得坦然、用得心安，真正把暖心事办到干部职工心坎上。</w:t>
      </w:r>
    </w:p>
    <w:p w14:paraId="3C96BF97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</w:p>
    <w:p w14:paraId="36E0658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E13637"/>
    <w:rsid w:val="2B9A7696"/>
    <w:rsid w:val="51E13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2026-09-24T05:16:00Z</dcterms:created>
  <dc:creator>诚恩网络科技有限公司</dc:creator>
  <cp:lastModifiedBy>诚恩网络科技有限公司</cp:lastModifiedBy>
  <dcterms:modified xsi:type="dcterms:W3CDTF">2026-09-24T05:18:28Z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A16F1818439E46B590550AD484857092_13</vt:lpwstr>
  </property>
  <property fmtid="{D5CDD505-2E9C-101B-9397-08002B2CF9AE}" pid="4" name="KSOTemplateDocerSaveRecord">
    <vt:lpwstr>eyJoZGlkIjoiNGIxNGNlZWNhMjUwZDRhZTZhOTY3MDRhNWVhMzAwYTgiLCJ1c2VySWQiOiIxNjM3NzY3NzAwIn0=</vt:lpwstr>
  </property>
</Properties>
</file>